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HAnsi" w:hAnsiTheme="minorHAnsi" w:eastAsiaTheme="majorEastAsia" w:cstheme="minorHAnsi"/>
          <w:b/>
          <w:kern w:val="0"/>
          <w:sz w:val="32"/>
          <w:szCs w:val="21"/>
        </w:rPr>
      </w:pPr>
      <w:r>
        <w:rPr>
          <w:rFonts w:asciiTheme="minorHAnsi" w:hAnsiTheme="minorHAnsi" w:eastAsiaTheme="majorEastAsia" w:cstheme="minorHAnsi"/>
          <w:b/>
          <w:kern w:val="0"/>
          <w:sz w:val="32"/>
          <w:szCs w:val="21"/>
        </w:rPr>
        <w:t>美国加州大学河滨分校</w:t>
      </w:r>
      <w:r>
        <w:rPr>
          <w:rFonts w:hint="eastAsia" w:asciiTheme="minorHAnsi" w:hAnsiTheme="minorHAnsi" w:eastAsiaTheme="majorEastAsia" w:cstheme="minorHAnsi"/>
          <w:b/>
          <w:kern w:val="0"/>
          <w:sz w:val="32"/>
          <w:szCs w:val="21"/>
        </w:rPr>
        <w:t>伯恩斯工程学院</w:t>
      </w:r>
    </w:p>
    <w:p>
      <w:pPr>
        <w:widowControl/>
        <w:spacing w:line="360" w:lineRule="auto"/>
        <w:jc w:val="center"/>
        <w:rPr>
          <w:rFonts w:hint="eastAsia" w:asciiTheme="minorHAnsi" w:hAnsiTheme="minorHAnsi" w:eastAsiaTheme="majorEastAsia" w:cstheme="minorHAnsi"/>
          <w:b/>
          <w:kern w:val="0"/>
          <w:sz w:val="32"/>
          <w:szCs w:val="21"/>
          <w:lang w:eastAsia="zh-CN"/>
        </w:rPr>
      </w:pPr>
      <w:r>
        <w:rPr>
          <w:rFonts w:hint="eastAsia" w:asciiTheme="minorHAnsi" w:hAnsiTheme="minorHAnsi" w:eastAsiaTheme="majorEastAsia" w:cstheme="minorHAnsi"/>
          <w:b/>
          <w:kern w:val="0"/>
          <w:sz w:val="32"/>
          <w:szCs w:val="21"/>
        </w:rPr>
        <w:t>工程3+1+(硕博)项目</w:t>
      </w:r>
      <w:r>
        <w:rPr>
          <w:rFonts w:hint="eastAsia" w:asciiTheme="minorHAnsi" w:hAnsiTheme="minorHAnsi" w:eastAsiaTheme="majorEastAsia" w:cstheme="minorHAnsi"/>
          <w:b/>
          <w:kern w:val="0"/>
          <w:sz w:val="32"/>
          <w:szCs w:val="21"/>
          <w:lang w:val="en-US" w:eastAsia="zh-CN"/>
        </w:rPr>
        <w:t>介绍</w:t>
      </w:r>
    </w:p>
    <w:p>
      <w:pPr>
        <w:widowControl/>
        <w:numPr>
          <w:ilvl w:val="0"/>
          <w:numId w:val="1"/>
        </w:numPr>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加州大学河滨分校简介</w:t>
      </w:r>
    </w:p>
    <w:p>
      <w:pPr>
        <w:pStyle w:val="7"/>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cstheme="minorHAnsi"/>
          <w:kern w:val="0"/>
          <w:szCs w:val="21"/>
        </w:rPr>
        <w:t>美国著名公立研究型大学，加州大学系统中十大分校之一。</w:t>
      </w:r>
      <w:r>
        <w:rPr>
          <w:rFonts w:asciiTheme="minorHAnsi" w:hAnsiTheme="minorHAnsi" w:eastAsiaTheme="majorEastAsia" w:cstheme="minorHAnsi"/>
          <w:szCs w:val="21"/>
        </w:rPr>
        <w:t>201</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年</w:t>
      </w:r>
      <w:r>
        <w:rPr>
          <w:rFonts w:asciiTheme="minorHAnsi" w:hAnsiTheme="minorHAnsi" w:cstheme="minorHAnsi"/>
          <w:kern w:val="0"/>
          <w:szCs w:val="21"/>
        </w:rPr>
        <w:t>《美国新闻与世界报道》</w:t>
      </w:r>
      <w:r>
        <w:rPr>
          <w:rFonts w:asciiTheme="minorHAnsi" w:hAnsiTheme="minorHAnsi" w:eastAsiaTheme="majorEastAsia" w:cstheme="minorHAnsi"/>
          <w:szCs w:val="21"/>
        </w:rPr>
        <w:t>全美公立大学排名第35</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全美4000多所高校综合排名第85</w:t>
      </w:r>
      <w:r>
        <w:rPr>
          <w:rFonts w:hint="eastAsia" w:asciiTheme="minorHAnsi" w:hAnsiTheme="minorHAnsi" w:eastAsiaTheme="majorEastAsia" w:cstheme="minorHAnsi"/>
          <w:szCs w:val="21"/>
        </w:rPr>
        <w:t>；</w:t>
      </w:r>
    </w:p>
    <w:p>
      <w:pPr>
        <w:pStyle w:val="7"/>
        <w:widowControl/>
        <w:numPr>
          <w:ilvl w:val="0"/>
          <w:numId w:val="2"/>
        </w:numPr>
        <w:spacing w:line="360" w:lineRule="auto"/>
        <w:ind w:firstLineChars="0"/>
        <w:jc w:val="left"/>
        <w:rPr>
          <w:rFonts w:asciiTheme="minorHAnsi" w:hAnsiTheme="minorHAnsi" w:eastAsiaTheme="majorEastAsia" w:cstheme="minorHAnsi"/>
          <w:szCs w:val="21"/>
        </w:rPr>
      </w:pPr>
      <w:r>
        <w:rPr>
          <w:rFonts w:hint="eastAsia" w:asciiTheme="minorHAnsi" w:hAnsiTheme="minorHAnsi" w:cstheme="minorHAnsi"/>
          <w:kern w:val="0"/>
          <w:szCs w:val="21"/>
        </w:rPr>
        <w:t>以</w:t>
      </w:r>
      <w:r>
        <w:rPr>
          <w:rFonts w:asciiTheme="minorHAnsi" w:hAnsiTheme="minorHAnsi" w:cstheme="minorHAnsi"/>
          <w:kern w:val="0"/>
          <w:szCs w:val="21"/>
        </w:rPr>
        <w:t>高质量的教育水平和</w:t>
      </w:r>
      <w:r>
        <w:rPr>
          <w:rFonts w:hint="eastAsia" w:asciiTheme="minorHAnsi" w:hAnsiTheme="minorHAnsi" w:cstheme="minorHAnsi"/>
          <w:kern w:val="0"/>
          <w:szCs w:val="21"/>
        </w:rPr>
        <w:t>“</w:t>
      </w:r>
      <w:r>
        <w:rPr>
          <w:rFonts w:asciiTheme="minorHAnsi" w:hAnsiTheme="minorHAnsi" w:cstheme="minorHAnsi"/>
          <w:kern w:val="0"/>
          <w:szCs w:val="21"/>
        </w:rPr>
        <w:t>全美最美校园</w:t>
      </w:r>
      <w:r>
        <w:rPr>
          <w:rFonts w:hint="eastAsia" w:asciiTheme="minorHAnsi" w:hAnsiTheme="minorHAnsi" w:cstheme="minorHAnsi"/>
          <w:kern w:val="0"/>
          <w:szCs w:val="21"/>
        </w:rPr>
        <w:t>”</w:t>
      </w:r>
      <w:r>
        <w:rPr>
          <w:rFonts w:asciiTheme="minorHAnsi" w:hAnsiTheme="minorHAnsi" w:cstheme="minorHAnsi"/>
          <w:kern w:val="0"/>
          <w:szCs w:val="21"/>
        </w:rPr>
        <w:t>闻名于世，更以学生多样化、教学理念多样化、课程多样化为特点，位列《美国新闻与世界报道》</w:t>
      </w:r>
      <w:r>
        <w:rPr>
          <w:rFonts w:hint="eastAsia" w:asciiTheme="minorHAnsi" w:hAnsiTheme="minorHAnsi" w:cstheme="minorHAnsi"/>
          <w:kern w:val="0"/>
          <w:szCs w:val="21"/>
        </w:rPr>
        <w:t>“</w:t>
      </w:r>
      <w:r>
        <w:rPr>
          <w:rFonts w:asciiTheme="minorHAnsi" w:hAnsiTheme="minorHAnsi" w:cstheme="minorHAnsi"/>
          <w:kern w:val="0"/>
          <w:szCs w:val="21"/>
        </w:rPr>
        <w:t>全美教育多样化</w:t>
      </w:r>
      <w:r>
        <w:rPr>
          <w:rFonts w:hint="eastAsia" w:asciiTheme="minorHAnsi" w:hAnsiTheme="minorHAnsi" w:cstheme="minorHAnsi"/>
          <w:kern w:val="0"/>
          <w:szCs w:val="21"/>
        </w:rPr>
        <w:t>”</w:t>
      </w:r>
      <w:r>
        <w:rPr>
          <w:rFonts w:asciiTheme="minorHAnsi" w:hAnsiTheme="minorHAnsi" w:cstheme="minorHAnsi"/>
          <w:kern w:val="0"/>
          <w:szCs w:val="21"/>
        </w:rPr>
        <w:t>排名第五</w:t>
      </w:r>
      <w:r>
        <w:rPr>
          <w:rFonts w:hint="eastAsia" w:asciiTheme="minorHAnsi" w:hAnsiTheme="minorHAnsi" w:cstheme="minorHAnsi"/>
          <w:kern w:val="0"/>
          <w:szCs w:val="21"/>
        </w:rPr>
        <w:t>；</w:t>
      </w:r>
      <w:r>
        <w:rPr>
          <w:rFonts w:asciiTheme="minorHAnsi" w:hAnsiTheme="minorHAnsi" w:cstheme="minorHAnsi"/>
          <w:kern w:val="0"/>
          <w:szCs w:val="21"/>
        </w:rPr>
        <w:t>2014年4月，被美国《时代》杂志评选为美国</w:t>
      </w:r>
      <w:r>
        <w:rPr>
          <w:rFonts w:hint="eastAsia" w:asciiTheme="minorHAnsi" w:hAnsiTheme="minorHAnsi" w:cstheme="minorHAnsi"/>
          <w:kern w:val="0"/>
          <w:szCs w:val="21"/>
        </w:rPr>
        <w:t>“</w:t>
      </w:r>
      <w:r>
        <w:rPr>
          <w:rFonts w:asciiTheme="minorHAnsi" w:hAnsiTheme="minorHAnsi" w:cstheme="minorHAnsi"/>
          <w:kern w:val="0"/>
          <w:szCs w:val="21"/>
        </w:rPr>
        <w:t>性价比最高</w:t>
      </w:r>
      <w:r>
        <w:rPr>
          <w:rFonts w:hint="eastAsia" w:asciiTheme="minorHAnsi" w:hAnsiTheme="minorHAnsi" w:cstheme="minorHAnsi"/>
          <w:kern w:val="0"/>
          <w:szCs w:val="21"/>
        </w:rPr>
        <w:t>”</w:t>
      </w:r>
      <w:r>
        <w:rPr>
          <w:rFonts w:asciiTheme="minorHAnsi" w:hAnsiTheme="minorHAnsi" w:cstheme="minorHAnsi"/>
          <w:kern w:val="0"/>
          <w:szCs w:val="21"/>
        </w:rPr>
        <w:t>的大学</w:t>
      </w:r>
    </w:p>
    <w:p>
      <w:pPr>
        <w:pStyle w:val="7"/>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cstheme="minorHAnsi"/>
          <w:kern w:val="0"/>
          <w:szCs w:val="21"/>
        </w:rPr>
        <w:t>位于加利福尼亚州河滨市，地理位置优越</w:t>
      </w:r>
      <w:r>
        <w:rPr>
          <w:rFonts w:hint="eastAsia" w:asciiTheme="minorHAnsi" w:hAnsiTheme="minorHAnsi" w:cstheme="minorHAnsi"/>
          <w:kern w:val="0"/>
          <w:szCs w:val="21"/>
        </w:rPr>
        <w:t>，</w:t>
      </w:r>
      <w:r>
        <w:rPr>
          <w:rFonts w:asciiTheme="minorHAnsi" w:hAnsiTheme="minorHAnsi" w:cstheme="minorHAnsi"/>
          <w:kern w:val="0"/>
          <w:szCs w:val="21"/>
        </w:rPr>
        <w:t>距离洛杉矶仅一小时车程。</w:t>
      </w:r>
    </w:p>
    <w:p>
      <w:pPr>
        <w:spacing w:line="360" w:lineRule="auto"/>
        <w:rPr>
          <w:rFonts w:asciiTheme="minorHAnsi" w:hAnsiTheme="minorHAnsi" w:eastAsiaTheme="majorEastAsia" w:cstheme="minorHAnsi"/>
          <w:szCs w:val="21"/>
        </w:rPr>
      </w:pPr>
    </w:p>
    <w:p>
      <w:pPr>
        <w:pStyle w:val="7"/>
        <w:widowControl/>
        <w:numPr>
          <w:ilvl w:val="0"/>
          <w:numId w:val="1"/>
        </w:numPr>
        <w:spacing w:line="360" w:lineRule="auto"/>
        <w:ind w:firstLineChars="0"/>
        <w:jc w:val="left"/>
        <w:rPr>
          <w:rFonts w:asciiTheme="minorHAnsi" w:hAnsiTheme="minorHAnsi" w:eastAsiaTheme="majorEastAsia" w:cstheme="minorHAnsi"/>
          <w:b/>
          <w:szCs w:val="21"/>
        </w:rPr>
      </w:pP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项目介绍</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项目概览</w:t>
      </w:r>
      <w:r>
        <w:rPr>
          <w:rFonts w:cs="Calibri" w:asciiTheme="minorHAnsi" w:hAnsiTheme="minorHAnsi"/>
          <w:szCs w:val="21"/>
        </w:rPr>
        <w:t>】</w:t>
      </w:r>
    </w:p>
    <w:p>
      <w:pPr>
        <w:widowControl/>
        <w:spacing w:line="360" w:lineRule="auto"/>
        <w:ind w:firstLine="418" w:firstLineChars="190"/>
        <w:jc w:val="left"/>
        <w:rPr>
          <w:rFonts w:asciiTheme="minorHAnsi" w:hAnsiTheme="minorHAnsi" w:cstheme="minorHAnsi"/>
          <w:kern w:val="0"/>
          <w:sz w:val="22"/>
        </w:rPr>
      </w:pPr>
      <w:r>
        <w:rPr>
          <w:rFonts w:hint="eastAsia" w:ascii="宋体" w:hAnsi="宋体" w:cs="宋体"/>
          <w:kern w:val="0"/>
          <w:sz w:val="22"/>
        </w:rPr>
        <w:t>加州大学河滨分校伯恩斯工程学院（</w:t>
      </w:r>
      <w:r>
        <w:rPr>
          <w:rFonts w:asciiTheme="minorHAnsi" w:hAnsiTheme="minorHAnsi" w:cstheme="minorHAnsi"/>
          <w:kern w:val="0"/>
          <w:sz w:val="22"/>
        </w:rPr>
        <w:t>Bourns College of Engineering，简称BCOE）</w:t>
      </w:r>
    </w:p>
    <w:p>
      <w:pPr>
        <w:widowControl/>
        <w:spacing w:line="360" w:lineRule="auto"/>
        <w:jc w:val="left"/>
        <w:rPr>
          <w:rFonts w:asciiTheme="minorHAnsi" w:hAnsiTheme="minorHAnsi" w:cstheme="minorHAnsi"/>
          <w:kern w:val="0"/>
          <w:sz w:val="22"/>
        </w:rPr>
      </w:pPr>
      <w:r>
        <w:rPr>
          <w:rFonts w:asciiTheme="minorHAnsi" w:hAnsiTheme="minorHAnsi" w:cstheme="minorHAnsi"/>
          <w:kern w:val="0"/>
          <w:sz w:val="22"/>
        </w:rPr>
        <w:t>是加州大学河滨分校的传统优势专业学院，代表着加州大学系统内工程类学科的顶尖水平。BCOE</w:t>
      </w:r>
      <w:r>
        <w:rPr>
          <w:rFonts w:asciiTheme="minorHAnsi" w:hAnsiTheme="minorHAnsi" w:cstheme="minorHAnsi"/>
          <w:sz w:val="22"/>
        </w:rPr>
        <w:t>在全美公立大学工程学院排名</w:t>
      </w:r>
      <w:r>
        <w:rPr>
          <w:rFonts w:asciiTheme="minorHAnsi" w:hAnsiTheme="minorHAnsi" w:cstheme="minorHAnsi"/>
          <w:b/>
          <w:sz w:val="22"/>
        </w:rPr>
        <w:t>第</w:t>
      </w:r>
      <w:r>
        <w:rPr>
          <w:rFonts w:hint="eastAsia" w:asciiTheme="minorHAnsi" w:hAnsiTheme="minorHAnsi" w:cstheme="minorHAnsi"/>
          <w:b/>
          <w:sz w:val="22"/>
        </w:rPr>
        <w:t>61</w:t>
      </w:r>
      <w:r>
        <w:rPr>
          <w:rFonts w:asciiTheme="minorHAnsi" w:hAnsiTheme="minorHAnsi" w:cstheme="minorHAnsi"/>
          <w:b/>
          <w:sz w:val="22"/>
        </w:rPr>
        <w:t>名。</w:t>
      </w:r>
      <w:r>
        <w:rPr>
          <w:rFonts w:asciiTheme="minorHAnsi" w:hAnsiTheme="minorHAnsi" w:cstheme="minorHAnsi"/>
          <w:kern w:val="0"/>
          <w:sz w:val="22"/>
        </w:rPr>
        <w:t>BCOE目前有本科生2100人，研究生530人，其中2%的本科生和61%的研究生是国际学生，由世界著名的研究型教授专注于小班教学，毕业生遍布全球知名企业与研究室。</w:t>
      </w:r>
      <w:r>
        <w:rPr>
          <w:rFonts w:asciiTheme="minorHAnsi" w:hAnsiTheme="minorHAnsi" w:cstheme="minorHAnsi"/>
          <w:sz w:val="22"/>
        </w:rPr>
        <w:t>详情请参见</w:t>
      </w:r>
      <w:r>
        <w:rPr>
          <w:rFonts w:hint="eastAsia" w:asciiTheme="minorHAnsi" w:hAnsiTheme="minorHAnsi" w:cstheme="minorHAnsi"/>
          <w:sz w:val="22"/>
        </w:rPr>
        <w:t>伯恩斯工程学院网站</w:t>
      </w:r>
      <w:r>
        <w:fldChar w:fldCharType="begin"/>
      </w:r>
      <w:r>
        <w:instrText xml:space="preserve"> HYPERLINK "http://www.engr.ucr.edu" </w:instrText>
      </w:r>
      <w:r>
        <w:fldChar w:fldCharType="separate"/>
      </w:r>
      <w:r>
        <w:rPr>
          <w:rStyle w:val="5"/>
          <w:rFonts w:asciiTheme="minorHAnsi" w:hAnsiTheme="minorHAnsi" w:cstheme="minorHAnsi"/>
          <w:sz w:val="22"/>
          <w:shd w:val="clear" w:color="auto" w:fill="FFFFFF"/>
        </w:rPr>
        <w:t>www.engr.</w:t>
      </w:r>
      <w:r>
        <w:rPr>
          <w:rStyle w:val="5"/>
          <w:rFonts w:asciiTheme="minorHAnsi" w:hAnsiTheme="minorHAnsi" w:cstheme="minorHAnsi"/>
          <w:bCs/>
          <w:sz w:val="22"/>
          <w:shd w:val="clear" w:color="auto" w:fill="FFFFFF"/>
        </w:rPr>
        <w:t>ucr</w:t>
      </w:r>
      <w:r>
        <w:rPr>
          <w:rStyle w:val="5"/>
          <w:rFonts w:asciiTheme="minorHAnsi" w:hAnsiTheme="minorHAnsi" w:cstheme="minorHAnsi"/>
          <w:sz w:val="22"/>
          <w:shd w:val="clear" w:color="auto" w:fill="FFFFFF"/>
        </w:rPr>
        <w:t>.edu</w:t>
      </w:r>
      <w:r>
        <w:rPr>
          <w:rStyle w:val="5"/>
          <w:rFonts w:asciiTheme="minorHAnsi" w:hAnsiTheme="minorHAnsi" w:cstheme="minorHAnsi"/>
          <w:sz w:val="22"/>
          <w:shd w:val="clear" w:color="auto" w:fill="FFFFFF"/>
        </w:rPr>
        <w:fldChar w:fldCharType="end"/>
      </w:r>
      <w:r>
        <w:rPr>
          <w:rFonts w:hint="eastAsia" w:asciiTheme="minorHAnsi" w:hAnsiTheme="minorHAnsi" w:cstheme="minorHAnsi"/>
          <w:sz w:val="22"/>
          <w:shd w:val="clear" w:color="auto" w:fill="FFFFFF"/>
        </w:rPr>
        <w:t>。</w:t>
      </w:r>
    </w:p>
    <w:p>
      <w:pPr>
        <w:widowControl/>
        <w:spacing w:line="360" w:lineRule="auto"/>
        <w:ind w:firstLine="420"/>
        <w:jc w:val="left"/>
        <w:rPr>
          <w:rFonts w:ascii="宋体" w:hAnsi="宋体" w:cs="宋体"/>
          <w:kern w:val="0"/>
          <w:sz w:val="22"/>
        </w:rPr>
      </w:pPr>
      <w:r>
        <w:rPr>
          <w:rFonts w:hint="eastAsia" w:asciiTheme="minorHAnsi" w:hAnsiTheme="minorHAnsi" w:cstheme="minorHAnsi"/>
          <w:b/>
          <w:kern w:val="0"/>
          <w:sz w:val="22"/>
          <w:u w:val="single"/>
        </w:rPr>
        <w:t>工程</w:t>
      </w:r>
      <w:r>
        <w:rPr>
          <w:rFonts w:asciiTheme="minorHAnsi" w:hAnsiTheme="minorHAnsi" w:cstheme="minorHAnsi"/>
          <w:b/>
          <w:kern w:val="0"/>
          <w:sz w:val="22"/>
          <w:u w:val="single"/>
        </w:rPr>
        <w:t xml:space="preserve"> 3+1+</w:t>
      </w:r>
      <w:r>
        <w:rPr>
          <w:rFonts w:hint="eastAsia" w:asciiTheme="minorHAnsi" w:hAnsiTheme="minorHAnsi" w:cstheme="minorHAnsi"/>
          <w:b/>
          <w:kern w:val="0"/>
          <w:sz w:val="22"/>
          <w:u w:val="single"/>
        </w:rPr>
        <w:t>（</w:t>
      </w:r>
      <w:r>
        <w:rPr>
          <w:rFonts w:asciiTheme="minorHAnsi" w:hAnsiTheme="minorHAnsi" w:cstheme="minorHAnsi"/>
          <w:b/>
          <w:kern w:val="0"/>
          <w:sz w:val="22"/>
          <w:u w:val="single"/>
        </w:rPr>
        <w:t>硕博</w:t>
      </w:r>
      <w:r>
        <w:rPr>
          <w:rFonts w:hint="eastAsia" w:asciiTheme="minorHAnsi" w:hAnsiTheme="minorHAnsi" w:cstheme="minorHAnsi"/>
          <w:b/>
          <w:kern w:val="0"/>
          <w:sz w:val="22"/>
          <w:u w:val="single"/>
        </w:rPr>
        <w:t>）</w:t>
      </w:r>
      <w:r>
        <w:rPr>
          <w:rFonts w:asciiTheme="minorHAnsi" w:hAnsiTheme="minorHAnsi" w:cstheme="minorHAnsi"/>
          <w:kern w:val="0"/>
          <w:sz w:val="22"/>
        </w:rPr>
        <w:t>项目</w:t>
      </w:r>
      <w:r>
        <w:rPr>
          <w:rFonts w:hint="eastAsia" w:asciiTheme="minorHAnsi" w:hAnsiTheme="minorHAnsi" w:cstheme="minorHAnsi"/>
          <w:kern w:val="0"/>
          <w:sz w:val="22"/>
        </w:rPr>
        <w:t>面向</w:t>
      </w:r>
      <w:r>
        <w:rPr>
          <w:rFonts w:asciiTheme="minorHAnsi" w:hAnsiTheme="minorHAnsi" w:cstheme="minorHAnsi"/>
          <w:kern w:val="0"/>
          <w:sz w:val="22"/>
        </w:rPr>
        <w:t>本校已完成大学三年级、即将进入大四年级的工程类专业</w:t>
      </w:r>
      <w:r>
        <w:rPr>
          <w:rFonts w:hint="eastAsia" w:asciiTheme="minorHAnsi" w:hAnsiTheme="minorHAnsi" w:cstheme="minorHAnsi"/>
          <w:kern w:val="0"/>
          <w:sz w:val="22"/>
        </w:rPr>
        <w:t>优秀</w:t>
      </w:r>
      <w:r>
        <w:rPr>
          <w:rFonts w:asciiTheme="minorHAnsi" w:hAnsiTheme="minorHAnsi" w:cstheme="minorHAnsi"/>
          <w:kern w:val="0"/>
          <w:sz w:val="22"/>
        </w:rPr>
        <w:t>本科生，通过</w:t>
      </w:r>
      <w:r>
        <w:rPr>
          <w:rFonts w:hint="eastAsia" w:asciiTheme="minorHAnsi" w:hAnsiTheme="minorHAnsi" w:cstheme="minorHAnsi"/>
          <w:kern w:val="0"/>
          <w:sz w:val="22"/>
        </w:rPr>
        <w:t>选拔后</w:t>
      </w:r>
      <w:r>
        <w:rPr>
          <w:rFonts w:hint="eastAsia" w:ascii="宋体" w:hAnsi="宋体" w:cs="宋体"/>
          <w:kern w:val="0"/>
          <w:sz w:val="22"/>
        </w:rPr>
        <w:t>前往加州大学河滨分校交流学习一学年。项目结束后，参加项目学生可以申请伯恩斯工程学院的</w:t>
      </w:r>
      <w:r>
        <w:rPr>
          <w:rFonts w:hint="eastAsia" w:ascii="宋体" w:hAnsi="宋体" w:cs="宋体"/>
          <w:b/>
          <w:kern w:val="0"/>
          <w:sz w:val="22"/>
        </w:rPr>
        <w:t>全奖硕博连读</w:t>
      </w:r>
      <w:r>
        <w:rPr>
          <w:rFonts w:hint="eastAsia" w:ascii="宋体" w:hAnsi="宋体" w:cs="宋体"/>
          <w:kern w:val="0"/>
          <w:sz w:val="22"/>
        </w:rPr>
        <w:t>，如学生愿意申请美国其他名校工程学院的硕士或硕博项目，伯恩斯工程学院也会给予学生推荐和指导。</w:t>
      </w:r>
    </w:p>
    <w:p>
      <w:pPr>
        <w:widowControl/>
        <w:spacing w:line="360" w:lineRule="auto"/>
        <w:ind w:firstLine="420"/>
        <w:jc w:val="left"/>
        <w:rPr>
          <w:rFonts w:ascii="宋体" w:hAnsi="宋体" w:cs="宋体"/>
          <w:kern w:val="0"/>
          <w:sz w:val="22"/>
          <w:highlight w:val="none"/>
        </w:rPr>
      </w:pPr>
      <w:r>
        <w:rPr>
          <w:rFonts w:hint="eastAsia" w:ascii="宋体" w:hAnsi="宋体" w:cs="宋体"/>
          <w:kern w:val="0"/>
          <w:sz w:val="22"/>
          <w:highlight w:val="none"/>
        </w:rPr>
        <w:t>本项目前几期学生除了获得加州大学河滨分校的硕博录取以外，很多学生获得了美国西北大学、宾夕法尼亚大学、加州大学洛杉矶分校等世界顶级名校的硕士录取。</w:t>
      </w:r>
    </w:p>
    <w:p>
      <w:pPr>
        <w:widowControl/>
        <w:spacing w:line="360" w:lineRule="auto"/>
        <w:ind w:firstLine="420"/>
        <w:jc w:val="left"/>
        <w:rPr>
          <w:rFonts w:ascii="宋体" w:hAnsi="宋体" w:cs="宋体"/>
          <w:kern w:val="0"/>
          <w:sz w:val="22"/>
        </w:rPr>
      </w:pPr>
      <w:r>
        <w:drawing>
          <wp:anchor distT="0" distB="0" distL="114300" distR="114300" simplePos="0" relativeHeight="251663360" behindDoc="0" locked="0" layoutInCell="1" allowOverlap="1">
            <wp:simplePos x="0" y="0"/>
            <wp:positionH relativeFrom="column">
              <wp:posOffset>68580</wp:posOffset>
            </wp:positionH>
            <wp:positionV relativeFrom="paragraph">
              <wp:posOffset>265430</wp:posOffset>
            </wp:positionV>
            <wp:extent cx="5057775" cy="2181860"/>
            <wp:effectExtent l="0" t="0" r="1905" b="1270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57775" cy="2181860"/>
                    </a:xfrm>
                    <a:prstGeom prst="rect">
                      <a:avLst/>
                    </a:prstGeom>
                  </pic:spPr>
                </pic:pic>
              </a:graphicData>
            </a:graphic>
          </wp:anchor>
        </w:drawing>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项目日期</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日期：2019年8月12日</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2020年6月12日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jc w:val="left"/>
        <w:rPr>
          <w:rFonts w:ascii="宋体" w:hAnsi="宋体" w:cs="宋体"/>
          <w:kern w:val="0"/>
          <w:sz w:val="22"/>
        </w:rPr>
      </w:pPr>
      <w:r>
        <w:rPr>
          <w:rFonts w:hint="eastAsia" w:ascii="宋体" w:hAnsi="宋体" w:cs="宋体"/>
          <w:kern w:val="0"/>
          <w:sz w:val="22"/>
        </w:rPr>
        <w:t>该项目由“学术预备课程”、“专业课程学习”及“本科毕业设计”三部分组成。</w:t>
      </w:r>
    </w:p>
    <w:p>
      <w:pPr>
        <w:widowControl/>
        <w:spacing w:line="360" w:lineRule="auto"/>
        <w:ind w:firstLine="420"/>
        <w:jc w:val="left"/>
        <w:rPr>
          <w:rFonts w:ascii="宋体" w:hAnsi="宋体" w:cs="宋体"/>
          <w:kern w:val="0"/>
          <w:sz w:val="22"/>
        </w:rPr>
      </w:pPr>
      <w:r>
        <w:rPr>
          <w:rFonts w:hint="eastAsia" w:ascii="宋体" w:hAnsi="宋体" w:cs="宋体"/>
          <w:kern w:val="0"/>
          <w:sz w:val="22"/>
        </w:rPr>
        <w:t>为期六周的学术预备课程(</w:t>
      </w:r>
      <w:r>
        <w:rPr>
          <w:rFonts w:hint="eastAsia" w:asciiTheme="minorHAnsi" w:hAnsiTheme="minorHAnsi" w:eastAsiaTheme="majorEastAsia" w:cstheme="minorHAnsi"/>
          <w:szCs w:val="21"/>
        </w:rPr>
        <w:t xml:space="preserve">2019年8月12日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9月20日</w:t>
      </w:r>
      <w:r>
        <w:rPr>
          <w:rFonts w:hint="eastAsia" w:ascii="宋体" w:hAnsi="宋体" w:cs="宋体"/>
          <w:kern w:val="0"/>
          <w:sz w:val="22"/>
        </w:rPr>
        <w:t>)帮助学生强化工程英语并准备</w:t>
      </w:r>
      <w:r>
        <w:rPr>
          <w:rFonts w:cs="宋体" w:asciiTheme="minorHAnsi" w:hAnsiTheme="minorHAnsi"/>
          <w:kern w:val="0"/>
          <w:sz w:val="22"/>
        </w:rPr>
        <w:t>GRE</w:t>
      </w:r>
      <w:r>
        <w:rPr>
          <w:rFonts w:hint="eastAsia" w:ascii="宋体" w:hAnsi="宋体" w:cs="宋体"/>
          <w:kern w:val="0"/>
          <w:sz w:val="22"/>
        </w:rPr>
        <w:t>考试；专业课学习期间，学生可选修本科高年级的专业课程，符合条件的学生还可以选修研究生阶段的课程；在毕业设计阶段，项目学生在教授的指导下开展并完成毕业设计，进入实验室开展研究。项目学生在加州大学河滨分校完成的毕业设计可等同于本校的毕业设计。</w:t>
      </w:r>
      <w:r>
        <w:rPr>
          <w:rFonts w:hint="eastAsia" w:ascii="宋体" w:hAnsi="宋体" w:cs="宋体"/>
          <w:kern w:val="0"/>
          <w:sz w:val="22"/>
        </w:rPr>
        <w:br w:type="textWrapping"/>
      </w:r>
    </w:p>
    <w:p>
      <w:pPr>
        <w:pStyle w:val="7"/>
        <w:widowControl/>
        <w:spacing w:line="360" w:lineRule="auto"/>
        <w:ind w:left="420" w:firstLine="0" w:firstLineChars="0"/>
        <w:jc w:val="left"/>
        <w:rPr>
          <w:rFonts w:asciiTheme="minorHAnsi" w:hAnsiTheme="minorHAnsi" w:cstheme="minorHAnsi"/>
          <w:b/>
          <w:kern w:val="0"/>
          <w:sz w:val="22"/>
        </w:rPr>
      </w:pPr>
      <w:r>
        <w:rPr>
          <w:rFonts w:asciiTheme="minorHAnsi" w:hAnsiTheme="minorHAnsi" w:cstheme="minorHAnsi"/>
          <w:b/>
          <w:kern w:val="0"/>
          <w:sz w:val="22"/>
        </w:rPr>
        <w:t>1）在BCOE大四</w:t>
      </w:r>
      <w:r>
        <w:rPr>
          <w:rFonts w:hint="eastAsia" w:asciiTheme="minorHAnsi" w:hAnsiTheme="minorHAnsi" w:cstheme="minorHAnsi"/>
          <w:b/>
          <w:kern w:val="0"/>
          <w:sz w:val="22"/>
        </w:rPr>
        <w:t>需</w:t>
      </w:r>
      <w:r>
        <w:rPr>
          <w:rFonts w:asciiTheme="minorHAnsi" w:hAnsiTheme="minorHAnsi" w:cstheme="minorHAnsi"/>
          <w:b/>
          <w:kern w:val="0"/>
          <w:sz w:val="22"/>
        </w:rPr>
        <w:t>完成毕业设计</w:t>
      </w:r>
      <w:r>
        <w:rPr>
          <w:rFonts w:hint="eastAsia" w:asciiTheme="minorHAnsi" w:hAnsiTheme="minorHAnsi" w:cstheme="minorHAnsi"/>
          <w:b/>
          <w:kern w:val="0"/>
          <w:sz w:val="22"/>
        </w:rPr>
        <w:t>、</w:t>
      </w:r>
      <w:r>
        <w:rPr>
          <w:rFonts w:asciiTheme="minorHAnsi" w:hAnsiTheme="minorHAnsi" w:cstheme="minorHAnsi"/>
          <w:b/>
          <w:kern w:val="0"/>
          <w:sz w:val="22"/>
        </w:rPr>
        <w:t>高年级课程学习</w:t>
      </w:r>
      <w:r>
        <w:rPr>
          <w:rFonts w:hint="eastAsia" w:asciiTheme="minorHAnsi" w:hAnsiTheme="minorHAnsi" w:cstheme="minorHAnsi"/>
          <w:b/>
          <w:kern w:val="0"/>
          <w:sz w:val="22"/>
        </w:rPr>
        <w:t>，</w:t>
      </w:r>
      <w:r>
        <w:rPr>
          <w:rFonts w:asciiTheme="minorHAnsi" w:hAnsiTheme="minorHAnsi" w:cstheme="minorHAnsi"/>
          <w:b/>
          <w:kern w:val="0"/>
          <w:sz w:val="22"/>
        </w:rPr>
        <w:t>并进入实验室开展研究</w:t>
      </w:r>
      <w:r>
        <w:rPr>
          <w:rFonts w:hint="eastAsia" w:asciiTheme="minorHAnsi" w:hAnsiTheme="minorHAnsi" w:cstheme="minorHAnsi"/>
          <w:b/>
          <w:kern w:val="0"/>
          <w:sz w:val="22"/>
        </w:rPr>
        <w:t>，共计36个学分：</w:t>
      </w:r>
    </w:p>
    <w:p>
      <w:pPr>
        <w:pStyle w:val="7"/>
        <w:widowControl/>
        <w:numPr>
          <w:ilvl w:val="0"/>
          <w:numId w:val="3"/>
        </w:numPr>
        <w:spacing w:line="360" w:lineRule="auto"/>
        <w:ind w:firstLineChars="0"/>
        <w:jc w:val="left"/>
        <w:rPr>
          <w:rFonts w:ascii="宋体" w:hAnsi="宋体" w:cs="宋体"/>
          <w:kern w:val="0"/>
          <w:sz w:val="22"/>
        </w:rPr>
      </w:pPr>
      <w:r>
        <w:rPr>
          <w:rFonts w:hint="eastAsia" w:ascii="宋体" w:hAnsi="宋体" w:cs="宋体"/>
          <w:kern w:val="0"/>
          <w:sz w:val="22"/>
        </w:rPr>
        <w:t>在美国教授的指导下与工程学院的美国本土或国际学生共同完成本科毕业设计与实施，很多毕业设计项目都是由美国工业/工程公司参与的真实项目。毕业设计占</w:t>
      </w:r>
      <w:r>
        <w:rPr>
          <w:rFonts w:cs="宋体" w:asciiTheme="minorHAnsi" w:hAnsiTheme="minorHAnsi"/>
          <w:kern w:val="0"/>
          <w:sz w:val="22"/>
        </w:rPr>
        <w:t>8个学分（计算机科学专业的毕业设计为4学分）</w:t>
      </w:r>
      <w:r>
        <w:rPr>
          <w:rFonts w:hint="eastAsia" w:ascii="宋体" w:hAnsi="宋体" w:cs="宋体"/>
          <w:kern w:val="0"/>
          <w:sz w:val="22"/>
        </w:rPr>
        <w:t>；</w:t>
      </w:r>
    </w:p>
    <w:p>
      <w:pPr>
        <w:pStyle w:val="7"/>
        <w:widowControl/>
        <w:numPr>
          <w:ilvl w:val="0"/>
          <w:numId w:val="3"/>
        </w:numPr>
        <w:spacing w:line="360" w:lineRule="auto"/>
        <w:ind w:firstLineChars="0"/>
        <w:jc w:val="left"/>
        <w:rPr>
          <w:rFonts w:ascii="宋体" w:hAnsi="宋体" w:cs="宋体"/>
          <w:kern w:val="0"/>
          <w:sz w:val="22"/>
        </w:rPr>
      </w:pPr>
      <w:r>
        <w:rPr>
          <w:rFonts w:hint="eastAsia" w:asciiTheme="minorHAnsi" w:hAnsiTheme="minorHAnsi" w:cstheme="minorHAnsi"/>
          <w:kern w:val="0"/>
          <w:sz w:val="22"/>
        </w:rPr>
        <w:t>修读</w:t>
      </w:r>
      <w:r>
        <w:rPr>
          <w:rFonts w:hint="eastAsia" w:ascii="宋体" w:hAnsi="宋体" w:cs="宋体"/>
          <w:kern w:val="0"/>
          <w:sz w:val="22"/>
        </w:rPr>
        <w:t>美国高年级或研究生工程专业课程，与</w:t>
      </w:r>
      <w:r>
        <w:rPr>
          <w:rFonts w:cs="宋体" w:asciiTheme="minorHAnsi" w:hAnsiTheme="minorHAnsi"/>
          <w:kern w:val="0"/>
          <w:sz w:val="22"/>
        </w:rPr>
        <w:t>BCOE</w:t>
      </w:r>
      <w:r>
        <w:rPr>
          <w:rFonts w:hint="eastAsia" w:ascii="宋体" w:hAnsi="宋体" w:cs="宋体"/>
          <w:kern w:val="0"/>
          <w:sz w:val="22"/>
        </w:rPr>
        <w:t>的学位学生同班学习，同等待遇，同等强度；学生每学期必须修读至少</w:t>
      </w:r>
      <w:r>
        <w:rPr>
          <w:rFonts w:cs="宋体" w:asciiTheme="minorHAnsi" w:hAnsiTheme="minorHAnsi"/>
          <w:kern w:val="0"/>
          <w:sz w:val="22"/>
        </w:rPr>
        <w:t>12</w:t>
      </w:r>
      <w:r>
        <w:rPr>
          <w:rFonts w:hint="eastAsia" w:ascii="宋体" w:hAnsi="宋体" w:cs="宋体"/>
          <w:kern w:val="0"/>
          <w:sz w:val="22"/>
        </w:rPr>
        <w:t>个学分，相当于</w:t>
      </w:r>
      <w:r>
        <w:rPr>
          <w:rFonts w:cs="宋体" w:asciiTheme="minorHAnsi" w:hAnsiTheme="minorHAnsi"/>
          <w:kern w:val="0"/>
          <w:sz w:val="22"/>
        </w:rPr>
        <w:t>3-4</w:t>
      </w:r>
      <w:r>
        <w:rPr>
          <w:rFonts w:hint="eastAsia" w:ascii="宋体" w:hAnsi="宋体" w:cs="宋体"/>
          <w:kern w:val="0"/>
          <w:sz w:val="22"/>
        </w:rPr>
        <w:t>门课；</w:t>
      </w:r>
    </w:p>
    <w:p>
      <w:pPr>
        <w:pStyle w:val="7"/>
        <w:widowControl/>
        <w:numPr>
          <w:ilvl w:val="0"/>
          <w:numId w:val="3"/>
        </w:numPr>
        <w:spacing w:line="360" w:lineRule="auto"/>
        <w:ind w:firstLineChars="0"/>
        <w:jc w:val="left"/>
        <w:rPr>
          <w:rFonts w:ascii="宋体" w:hAnsi="宋体" w:cs="宋体"/>
          <w:kern w:val="0"/>
          <w:sz w:val="22"/>
        </w:rPr>
      </w:pPr>
      <w:r>
        <w:rPr>
          <w:rFonts w:hint="eastAsia" w:ascii="宋体" w:hAnsi="宋体" w:cs="宋体"/>
          <w:kern w:val="0"/>
          <w:sz w:val="22"/>
        </w:rPr>
        <w:t>符合条件的学生在大四阶段可选修研究生课程，如继续在</w:t>
      </w:r>
      <w:r>
        <w:rPr>
          <w:rFonts w:cs="宋体" w:asciiTheme="minorHAnsi" w:hAnsiTheme="minorHAnsi"/>
          <w:kern w:val="0"/>
          <w:sz w:val="22"/>
        </w:rPr>
        <w:t>BCOE</w:t>
      </w:r>
      <w:r>
        <w:rPr>
          <w:rFonts w:hint="eastAsia" w:ascii="宋体" w:hAnsi="宋体" w:cs="宋体"/>
          <w:kern w:val="0"/>
          <w:sz w:val="22"/>
        </w:rPr>
        <w:t>读硕博课程，本科阶段已修的研究生课程学分可以转入研究生学分；</w:t>
      </w:r>
    </w:p>
    <w:p>
      <w:pPr>
        <w:pStyle w:val="7"/>
        <w:widowControl/>
        <w:numPr>
          <w:ilvl w:val="0"/>
          <w:numId w:val="3"/>
        </w:numPr>
        <w:spacing w:line="360" w:lineRule="auto"/>
        <w:ind w:firstLineChars="0"/>
        <w:jc w:val="left"/>
        <w:rPr>
          <w:rFonts w:ascii="宋体" w:hAnsi="宋体" w:cs="宋体"/>
          <w:kern w:val="0"/>
          <w:sz w:val="22"/>
        </w:rPr>
      </w:pPr>
      <w:r>
        <w:rPr>
          <w:rFonts w:hint="eastAsia" w:ascii="宋体" w:hAnsi="宋体" w:cs="宋体"/>
          <w:kern w:val="0"/>
          <w:sz w:val="22"/>
        </w:rPr>
        <w:t>特别设计的工程英语课程，帮助项目学生强化专业英语，熟悉美国大学对学术写作的要求，尽快融入美国学习和研究环境。</w:t>
      </w:r>
    </w:p>
    <w:p>
      <w:pPr>
        <w:pStyle w:val="7"/>
        <w:widowControl/>
        <w:numPr>
          <w:ilvl w:val="0"/>
          <w:numId w:val="3"/>
        </w:numPr>
        <w:spacing w:line="360" w:lineRule="auto"/>
        <w:ind w:firstLineChars="0"/>
        <w:jc w:val="left"/>
        <w:rPr>
          <w:rFonts w:ascii="宋体" w:hAnsi="宋体" w:cs="宋体"/>
          <w:kern w:val="0"/>
          <w:sz w:val="22"/>
        </w:rPr>
      </w:pPr>
      <w:r>
        <w:rPr>
          <w:rFonts w:hint="eastAsia" w:ascii="宋体" w:hAnsi="宋体" w:cs="宋体"/>
          <w:kern w:val="0"/>
          <w:sz w:val="22"/>
        </w:rPr>
        <w:t>优先安排本项目学生进入实验室工作，参与世界级教授的最新研究项目。</w:t>
      </w:r>
    </w:p>
    <w:p>
      <w:pPr>
        <w:pStyle w:val="7"/>
        <w:widowControl/>
        <w:spacing w:line="360" w:lineRule="auto"/>
        <w:ind w:left="420" w:firstLine="0" w:firstLineChars="0"/>
        <w:jc w:val="left"/>
        <w:rPr>
          <w:rFonts w:asciiTheme="minorHAnsi" w:hAnsiTheme="minorHAnsi" w:cstheme="minorHAnsi"/>
          <w:b/>
          <w:kern w:val="0"/>
          <w:sz w:val="22"/>
        </w:rPr>
      </w:pPr>
      <w:r>
        <w:rPr>
          <w:rFonts w:asciiTheme="minorHAnsi" w:hAnsiTheme="minorHAnsi" w:cstheme="minorHAnsi"/>
          <w:b/>
          <w:kern w:val="0"/>
          <w:sz w:val="22"/>
        </w:rPr>
        <w:t>2）完成一年学习并通过考核后，可获得</w:t>
      </w:r>
    </w:p>
    <w:p>
      <w:pPr>
        <w:pStyle w:val="7"/>
        <w:widowControl/>
        <w:numPr>
          <w:ilvl w:val="0"/>
          <w:numId w:val="4"/>
        </w:numPr>
        <w:spacing w:line="360" w:lineRule="auto"/>
        <w:ind w:firstLineChars="0"/>
        <w:jc w:val="left"/>
        <w:rPr>
          <w:rFonts w:ascii="宋体" w:hAnsi="宋体" w:cs="宋体"/>
          <w:kern w:val="0"/>
          <w:sz w:val="22"/>
        </w:rPr>
      </w:pPr>
      <w:r>
        <w:rPr>
          <w:rFonts w:hint="eastAsia" w:ascii="宋体" w:hAnsi="宋体" w:cs="宋体"/>
          <w:kern w:val="0"/>
          <w:sz w:val="22"/>
        </w:rPr>
        <w:t>美国顶级工程学院的毕业设计和成绩单；</w:t>
      </w:r>
    </w:p>
    <w:p>
      <w:pPr>
        <w:pStyle w:val="7"/>
        <w:widowControl/>
        <w:numPr>
          <w:ilvl w:val="0"/>
          <w:numId w:val="4"/>
        </w:numPr>
        <w:spacing w:line="360" w:lineRule="auto"/>
        <w:ind w:firstLineChars="0"/>
        <w:jc w:val="left"/>
        <w:rPr>
          <w:rFonts w:ascii="宋体" w:hAnsi="宋体" w:cs="宋体"/>
          <w:kern w:val="0"/>
          <w:sz w:val="22"/>
        </w:rPr>
      </w:pPr>
      <w:r>
        <w:rPr>
          <w:rFonts w:hint="eastAsia" w:ascii="宋体" w:hAnsi="宋体" w:cs="宋体"/>
          <w:kern w:val="0"/>
          <w:sz w:val="22"/>
        </w:rPr>
        <w:t>美国顶级工程教授的推荐信（取决于学生表现）；</w:t>
      </w:r>
    </w:p>
    <w:p>
      <w:pPr>
        <w:pStyle w:val="7"/>
        <w:widowControl/>
        <w:numPr>
          <w:ilvl w:val="0"/>
          <w:numId w:val="4"/>
        </w:numPr>
        <w:spacing w:line="360" w:lineRule="auto"/>
        <w:ind w:firstLineChars="0"/>
        <w:jc w:val="left"/>
        <w:rPr>
          <w:rFonts w:ascii="宋体" w:hAnsi="宋体" w:cs="宋体"/>
          <w:kern w:val="0"/>
          <w:sz w:val="22"/>
        </w:rPr>
      </w:pPr>
      <w:r>
        <w:rPr>
          <w:rFonts w:hint="eastAsia" w:ascii="宋体" w:hAnsi="宋体" w:cs="宋体"/>
          <w:kern w:val="0"/>
          <w:sz w:val="22"/>
        </w:rPr>
        <w:t>高级工程专业证书。</w:t>
      </w:r>
    </w:p>
    <w:p>
      <w:pPr>
        <w:pStyle w:val="7"/>
        <w:widowControl/>
        <w:spacing w:line="360" w:lineRule="auto"/>
        <w:ind w:left="420" w:firstLine="0" w:firstLineChars="0"/>
        <w:jc w:val="left"/>
        <w:rPr>
          <w:rFonts w:asciiTheme="minorHAnsi" w:hAnsiTheme="minorHAnsi" w:cstheme="minorHAnsi"/>
          <w:b/>
          <w:kern w:val="0"/>
          <w:sz w:val="22"/>
        </w:rPr>
      </w:pPr>
      <w:r>
        <w:rPr>
          <w:rFonts w:asciiTheme="minorHAnsi" w:hAnsiTheme="minorHAnsi" w:cstheme="minorHAnsi"/>
          <w:b/>
          <w:kern w:val="0"/>
          <w:sz w:val="22"/>
        </w:rPr>
        <w:t>3）完成一年学习并符合相关要求的学生，可申请</w:t>
      </w:r>
    </w:p>
    <w:p>
      <w:pPr>
        <w:pStyle w:val="7"/>
        <w:widowControl/>
        <w:numPr>
          <w:ilvl w:val="0"/>
          <w:numId w:val="5"/>
        </w:numPr>
        <w:spacing w:line="360" w:lineRule="auto"/>
        <w:ind w:firstLineChars="0"/>
        <w:jc w:val="left"/>
        <w:rPr>
          <w:rFonts w:asciiTheme="minorHAnsi" w:hAnsiTheme="minorHAnsi" w:cstheme="minorHAnsi"/>
          <w:kern w:val="0"/>
          <w:sz w:val="22"/>
        </w:rPr>
      </w:pPr>
      <w:r>
        <w:rPr>
          <w:rFonts w:hint="eastAsia" w:ascii="宋体" w:hAnsi="宋体" w:cs="宋体"/>
          <w:kern w:val="0"/>
          <w:sz w:val="22"/>
        </w:rPr>
        <w:t>入读加州大学河滨分校</w:t>
      </w:r>
      <w:r>
        <w:rPr>
          <w:rFonts w:asciiTheme="minorHAnsi" w:hAnsiTheme="minorHAnsi" w:cstheme="minorHAnsi"/>
          <w:kern w:val="0"/>
          <w:sz w:val="22"/>
        </w:rPr>
        <w:t>BCOE硕博连读（</w:t>
      </w:r>
      <w:r>
        <w:rPr>
          <w:rFonts w:hint="eastAsia" w:asciiTheme="minorHAnsi" w:hAnsiTheme="minorHAnsi" w:cstheme="minorHAnsi"/>
          <w:kern w:val="0"/>
          <w:sz w:val="22"/>
        </w:rPr>
        <w:t>每年5万美元</w:t>
      </w:r>
      <w:r>
        <w:rPr>
          <w:rFonts w:asciiTheme="minorHAnsi" w:hAnsiTheme="minorHAnsi" w:cstheme="minorHAnsi"/>
          <w:kern w:val="0"/>
          <w:sz w:val="22"/>
        </w:rPr>
        <w:t>奖学金）；</w:t>
      </w:r>
    </w:p>
    <w:p>
      <w:pPr>
        <w:pStyle w:val="7"/>
        <w:widowControl/>
        <w:numPr>
          <w:ilvl w:val="0"/>
          <w:numId w:val="5"/>
        </w:numPr>
        <w:spacing w:line="360" w:lineRule="auto"/>
        <w:ind w:firstLineChars="0"/>
        <w:jc w:val="left"/>
        <w:rPr>
          <w:rFonts w:ascii="宋体" w:hAnsi="宋体" w:cs="宋体"/>
          <w:kern w:val="0"/>
          <w:sz w:val="22"/>
        </w:rPr>
      </w:pPr>
      <w:r>
        <w:rPr>
          <w:rFonts w:asciiTheme="minorHAnsi" w:hAnsiTheme="minorHAnsi" w:cstheme="minorHAnsi"/>
          <w:kern w:val="0"/>
          <w:sz w:val="22"/>
        </w:rPr>
        <w:t>入读加州大学河滨分校BCOE</w:t>
      </w:r>
      <w:r>
        <w:rPr>
          <w:rFonts w:hint="eastAsia" w:ascii="宋体" w:hAnsi="宋体" w:cs="宋体"/>
          <w:kern w:val="0"/>
          <w:sz w:val="22"/>
        </w:rPr>
        <w:t>硕士项目，可免修已获得的硕士课程学分；</w:t>
      </w:r>
    </w:p>
    <w:p>
      <w:pPr>
        <w:pStyle w:val="7"/>
        <w:widowControl/>
        <w:numPr>
          <w:ilvl w:val="0"/>
          <w:numId w:val="5"/>
        </w:numPr>
        <w:spacing w:line="360" w:lineRule="auto"/>
        <w:ind w:firstLineChars="0"/>
        <w:jc w:val="left"/>
        <w:rPr>
          <w:rFonts w:ascii="宋体" w:hAnsi="宋体" w:cs="宋体"/>
          <w:kern w:val="0"/>
          <w:sz w:val="22"/>
        </w:rPr>
      </w:pPr>
      <w:r>
        <w:rPr>
          <w:rFonts w:hint="eastAsia" w:ascii="宋体" w:hAnsi="宋体" w:cs="宋体"/>
          <w:kern w:val="0"/>
          <w:sz w:val="22"/>
        </w:rPr>
        <w:t>其他美国名校硕博连读；</w:t>
      </w:r>
    </w:p>
    <w:p>
      <w:pPr>
        <w:pStyle w:val="7"/>
        <w:widowControl/>
        <w:numPr>
          <w:ilvl w:val="0"/>
          <w:numId w:val="5"/>
        </w:numPr>
        <w:spacing w:line="360" w:lineRule="auto"/>
        <w:ind w:firstLineChars="0"/>
        <w:jc w:val="left"/>
        <w:rPr>
          <w:rFonts w:ascii="宋体" w:hAnsi="宋体" w:cs="宋体"/>
          <w:kern w:val="0"/>
          <w:sz w:val="22"/>
        </w:rPr>
      </w:pPr>
      <w:r>
        <w:rPr>
          <w:rFonts w:hint="eastAsia" w:ascii="宋体" w:hAnsi="宋体" w:cs="宋体"/>
          <w:kern w:val="0"/>
          <w:sz w:val="22"/>
        </w:rPr>
        <w:t>在美带薪实习</w:t>
      </w:r>
      <w:r>
        <w:rPr>
          <w:rFonts w:asciiTheme="minorHAnsi" w:hAnsiTheme="minorHAnsi" w:cstheme="minorHAnsi"/>
          <w:kern w:val="0"/>
          <w:sz w:val="22"/>
        </w:rPr>
        <w:t>OPT</w:t>
      </w:r>
      <w:r>
        <w:rPr>
          <w:rFonts w:hint="eastAsia" w:ascii="宋体" w:hAnsi="宋体" w:cs="宋体"/>
          <w:kern w:val="0"/>
          <w:sz w:val="22"/>
        </w:rPr>
        <w:t>工作一年。</w:t>
      </w:r>
    </w:p>
    <w:p>
      <w:pPr>
        <w:widowControl/>
        <w:spacing w:line="360" w:lineRule="auto"/>
        <w:jc w:val="left"/>
        <w:rPr>
          <w:rFonts w:asciiTheme="minorHAnsi" w:hAnsiTheme="minorHAnsi" w:eastAsiaTheme="majorEastAsia" w:cstheme="minorHAnsi"/>
          <w:szCs w:val="21"/>
        </w:rPr>
      </w:pPr>
    </w:p>
    <w:p>
      <w:pPr>
        <w:spacing w:line="360" w:lineRule="auto"/>
        <w:ind w:left="420" w:leftChars="200"/>
        <w:rPr>
          <w:rFonts w:cs="Calibri" w:asciiTheme="minorHAnsi" w:hAnsiTheme="minorHAnsi"/>
          <w:sz w:val="22"/>
          <w:szCs w:val="22"/>
        </w:rPr>
      </w:pPr>
      <w:r>
        <w:rPr>
          <w:rFonts w:hint="eastAsia" w:cs="Calibri" w:asciiTheme="minorHAnsi" w:hAnsiTheme="minorHAnsi"/>
          <w:sz w:val="22"/>
          <w:szCs w:val="22"/>
        </w:rPr>
        <w:t>所有项目学生均可获得加州大学河滨分校正式注册的学生证，凭借学生证可在项目</w:t>
      </w:r>
    </w:p>
    <w:p>
      <w:pPr>
        <w:spacing w:line="360" w:lineRule="auto"/>
        <w:rPr>
          <w:rFonts w:cs="Calibri" w:asciiTheme="minorHAnsi" w:hAnsiTheme="minorHAnsi"/>
          <w:sz w:val="22"/>
          <w:szCs w:val="22"/>
        </w:rPr>
      </w:pPr>
      <w:r>
        <w:rPr>
          <w:rFonts w:hint="eastAsia" w:cs="Calibri" w:asciiTheme="minorHAnsi" w:hAnsiTheme="minorHAnsi"/>
          <w:sz w:val="22"/>
          <w:szCs w:val="22"/>
        </w:rPr>
        <w:t>期内，按校方规定使用学校的校园设施与教育资源，包括图书馆、健身房、活动中心等。</w:t>
      </w:r>
    </w:p>
    <w:p>
      <w:pPr>
        <w:spacing w:line="360" w:lineRule="auto"/>
        <w:rPr>
          <w:rFonts w:cs="Calibri" w:asciiTheme="minorHAnsi" w:hAnsiTheme="minorHAnsi"/>
          <w:sz w:val="22"/>
          <w:szCs w:val="22"/>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ascii="Calibri" w:hAnsi="Calibri" w:cs="Calibri"/>
        </w:rPr>
      </w:pPr>
      <w:r>
        <w:rPr>
          <w:rFonts w:hint="eastAsia" w:asciiTheme="minorHAnsi" w:hAnsiTheme="minorHAnsi" w:eastAsiaTheme="majorEastAsia" w:cstheme="minorHAnsi"/>
          <w:szCs w:val="21"/>
        </w:rPr>
        <w:t>顺利完成所有课程，并通过学术考核的学生，将获得加州大学河滨分校出具的正式成绩单及学习证明。</w:t>
      </w:r>
    </w:p>
    <w:p>
      <w:pPr>
        <w:widowControl/>
        <w:spacing w:line="360" w:lineRule="auto"/>
        <w:ind w:firstLine="420" w:firstLineChars="200"/>
        <w:jc w:val="left"/>
        <w:rPr>
          <w:rFonts w:cs="Calibri" w:asciiTheme="minorHAnsi" w:hAnsiTheme="minorHAnsi"/>
          <w:szCs w:val="21"/>
        </w:rPr>
      </w:pPr>
      <w:r>
        <w:drawing>
          <wp:anchor distT="0" distB="0" distL="114300" distR="114300" simplePos="0" relativeHeight="251661312" behindDoc="0" locked="0" layoutInCell="1" allowOverlap="1">
            <wp:simplePos x="0" y="0"/>
            <wp:positionH relativeFrom="column">
              <wp:posOffset>-45720</wp:posOffset>
            </wp:positionH>
            <wp:positionV relativeFrom="paragraph">
              <wp:posOffset>158750</wp:posOffset>
            </wp:positionV>
            <wp:extent cx="2038350" cy="2502535"/>
            <wp:effectExtent l="0" t="0" r="3810" b="1206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38350" cy="2502535"/>
                    </a:xfrm>
                    <a:prstGeom prst="rect">
                      <a:avLst/>
                    </a:prstGeom>
                  </pic:spPr>
                </pic:pic>
              </a:graphicData>
            </a:graphic>
          </wp:anchor>
        </w:drawing>
      </w:r>
    </w:p>
    <w:p>
      <w:pPr>
        <w:widowControl/>
        <w:spacing w:line="360" w:lineRule="auto"/>
        <w:ind w:firstLine="420" w:firstLineChars="200"/>
        <w:jc w:val="left"/>
        <w:rPr>
          <w:rFonts w:cs="Calibri" w:asciiTheme="minorHAnsi" w:hAnsiTheme="minorHAnsi"/>
          <w:szCs w:val="21"/>
        </w:rPr>
      </w:pPr>
      <w:r>
        <w:drawing>
          <wp:anchor distT="0" distB="0" distL="114300" distR="114300" simplePos="0" relativeHeight="251662336" behindDoc="0" locked="0" layoutInCell="1" allowOverlap="1">
            <wp:simplePos x="0" y="0"/>
            <wp:positionH relativeFrom="column">
              <wp:posOffset>-57150</wp:posOffset>
            </wp:positionH>
            <wp:positionV relativeFrom="paragraph">
              <wp:posOffset>61595</wp:posOffset>
            </wp:positionV>
            <wp:extent cx="1809750" cy="2394585"/>
            <wp:effectExtent l="0" t="0" r="3810" b="1333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09750" cy="2394585"/>
                    </a:xfrm>
                    <a:prstGeom prst="rect">
                      <a:avLst/>
                    </a:prstGeom>
                  </pic:spPr>
                </pic:pic>
              </a:graphicData>
            </a:graphic>
          </wp:anchor>
        </w:drawing>
      </w:r>
    </w:p>
    <w:p>
      <w:pPr>
        <w:widowControl/>
        <w:spacing w:line="360" w:lineRule="auto"/>
        <w:ind w:firstLine="420" w:firstLineChars="200"/>
        <w:jc w:val="left"/>
        <w:rPr>
          <w:rFonts w:cs="Calibri" w:asciiTheme="minorHAnsi" w:hAnsiTheme="minorHAnsi"/>
          <w:szCs w:val="21"/>
        </w:rPr>
      </w:pPr>
    </w:p>
    <w:p>
      <w:pPr>
        <w:widowControl/>
        <w:spacing w:line="360" w:lineRule="auto"/>
        <w:ind w:firstLine="420" w:firstLineChars="200"/>
        <w:jc w:val="left"/>
        <w:rPr>
          <w:rFonts w:cs="Calibri" w:asciiTheme="minorHAnsi" w:hAnsiTheme="minorHAnsi"/>
          <w:szCs w:val="21"/>
        </w:rPr>
      </w:pPr>
    </w:p>
    <w:p>
      <w:pPr>
        <w:widowControl/>
        <w:spacing w:line="360" w:lineRule="auto"/>
        <w:ind w:firstLine="420" w:firstLineChars="200"/>
        <w:jc w:val="left"/>
        <w:rPr>
          <w:rFonts w:cs="Calibri" w:asciiTheme="minorHAnsi" w:hAnsiTheme="minorHAnsi"/>
          <w:szCs w:val="21"/>
        </w:rPr>
      </w:pPr>
    </w:p>
    <w:p>
      <w:pPr>
        <w:widowControl/>
        <w:spacing w:line="360" w:lineRule="auto"/>
        <w:ind w:firstLine="420" w:firstLineChars="200"/>
        <w:jc w:val="left"/>
        <w:rPr>
          <w:rFonts w:cs="Calibri" w:asciiTheme="minorHAnsi" w:hAnsiTheme="minorHAnsi"/>
          <w:szCs w:val="21"/>
        </w:rPr>
      </w:pPr>
    </w:p>
    <w:p>
      <w:pPr>
        <w:widowControl/>
        <w:spacing w:line="360" w:lineRule="auto"/>
        <w:ind w:firstLine="420" w:firstLineChars="200"/>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ind w:firstLine="420" w:firstLineChars="200"/>
        <w:jc w:val="left"/>
        <w:rPr>
          <w:rFonts w:cs="Calibri" w:asciiTheme="minorHAnsi" w:hAnsiTheme="minorHAnsi"/>
          <w:szCs w:val="21"/>
        </w:rPr>
      </w:pPr>
    </w:p>
    <w:p>
      <w:pPr>
        <w:widowControl/>
        <w:spacing w:line="360" w:lineRule="auto"/>
        <w:ind w:firstLine="420" w:firstLineChars="200"/>
        <w:jc w:val="left"/>
        <w:rPr>
          <w:rFonts w:cs="Calibri" w:asciiTheme="minorHAnsi" w:hAnsiTheme="minorHAnsi"/>
          <w:szCs w:val="21"/>
        </w:rPr>
      </w:pPr>
    </w:p>
    <w:p>
      <w:pPr>
        <w:widowControl/>
        <w:spacing w:line="360" w:lineRule="auto"/>
        <w:ind w:firstLine="420" w:firstLineChars="200"/>
        <w:jc w:val="left"/>
        <w:rPr>
          <w:rFonts w:cs="Calibri" w:asciiTheme="minorHAnsi" w:hAnsiTheme="minorHAnsi"/>
          <w:szCs w:val="21"/>
        </w:rPr>
      </w:pPr>
      <w:r>
        <w:rPr>
          <w:rFonts w:hint="eastAsia" w:cs="Calibri" w:asciiTheme="minorHAnsi" w:hAnsiTheme="minorHAnsi"/>
          <w:szCs w:val="21"/>
        </w:rPr>
        <w:t>图：加州大学河滨分校语言及学分课程成绩单</w:t>
      </w:r>
    </w:p>
    <w:p>
      <w:pPr>
        <w:widowControl/>
        <w:spacing w:line="360" w:lineRule="auto"/>
        <w:ind w:firstLine="420" w:firstLineChars="200"/>
        <w:jc w:val="left"/>
        <w:rPr>
          <w:rFonts w:cs="Calibri" w:asciiTheme="minorHAnsi" w:hAnsi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约3.22万美元（约合人民币22.5万元）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申请费、学费、杂费、在读期间医疗保险、及项目设计与管理费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国际机票、签证费、住宿费、个人生活费</w:t>
            </w:r>
          </w:p>
        </w:tc>
      </w:tr>
    </w:tbl>
    <w:p>
      <w:pPr>
        <w:spacing w:line="360" w:lineRule="auto"/>
        <w:rPr>
          <w:rFonts w:asciiTheme="minorHAnsi" w:hAnsiTheme="minorHAnsi" w:eastAsiaTheme="majorEastAsia" w:cstheme="minorHAnsi"/>
          <w:b/>
          <w:bCs/>
          <w:kern w:val="0"/>
          <w:szCs w:val="21"/>
        </w:rPr>
      </w:pPr>
    </w:p>
    <w:p>
      <w:pPr>
        <w:spacing w:line="360" w:lineRule="auto"/>
        <w:rPr>
          <w:rFonts w:asciiTheme="minorHAnsi" w:hAnsiTheme="minorHAnsi" w:eastAsiaTheme="majorEastAsia" w:cstheme="minorHAnsi"/>
          <w:b/>
          <w:kern w:val="0"/>
          <w:szCs w:val="21"/>
        </w:rPr>
      </w:pPr>
      <w:r>
        <w:rPr>
          <w:rFonts w:asciiTheme="minorHAnsi" w:hAnsiTheme="minorHAnsi" w:eastAsiaTheme="majorEastAsia" w:cstheme="minorHAnsi"/>
          <w:b/>
          <w:bCs/>
          <w:kern w:val="0"/>
          <w:szCs w:val="21"/>
        </w:rPr>
        <w:t>三、</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kern w:val="0"/>
          <w:szCs w:val="21"/>
        </w:rPr>
        <w:t>选拔要求</w:t>
      </w:r>
    </w:p>
    <w:p>
      <w:pPr>
        <w:pStyle w:val="7"/>
        <w:numPr>
          <w:numId w:val="0"/>
        </w:numPr>
        <w:spacing w:line="360" w:lineRule="auto"/>
        <w:rPr>
          <w:rFonts w:asciiTheme="minorHAnsi" w:hAnsiTheme="minorHAnsi" w:eastAsiaTheme="majorEastAsia" w:cstheme="minorHAnsi"/>
          <w:szCs w:val="21"/>
        </w:rPr>
      </w:pPr>
      <w:r>
        <w:rPr>
          <w:rFonts w:hint="eastAsia" w:asciiTheme="minorHAnsi" w:hAnsiTheme="minorHAnsi" w:cstheme="minorHAnsi"/>
          <w:sz w:val="22"/>
          <w:lang w:val="en-US" w:eastAsia="zh-CN"/>
        </w:rPr>
        <w:t>1、</w:t>
      </w:r>
      <w:r>
        <w:rPr>
          <w:rFonts w:asciiTheme="minorHAnsi" w:hAnsiTheme="minorHAnsi" w:cstheme="minorHAnsi"/>
          <w:sz w:val="22"/>
        </w:rPr>
        <w:t>本项目接受具有如下专业大类背景的</w:t>
      </w:r>
      <w:r>
        <w:rPr>
          <w:rFonts w:hint="eastAsia"/>
          <w:sz w:val="22"/>
        </w:rPr>
        <w:t>我校统招工程类大三年级本科生</w:t>
      </w:r>
      <w:r>
        <w:rPr>
          <w:rFonts w:asciiTheme="minorHAnsi" w:hAnsiTheme="minorHAnsi" w:cstheme="minorHAnsi"/>
          <w:sz w:val="22"/>
        </w:rPr>
        <w:t>申请</w:t>
      </w:r>
    </w:p>
    <w:p>
      <w:pPr>
        <w:pStyle w:val="7"/>
        <w:numPr>
          <w:ilvl w:val="0"/>
          <w:numId w:val="6"/>
        </w:numPr>
        <w:spacing w:line="360" w:lineRule="auto"/>
        <w:ind w:firstLineChars="0"/>
        <w:rPr>
          <w:rFonts w:asciiTheme="minorHAnsi" w:hAnsiTheme="minorHAnsi" w:cstheme="minorHAnsi"/>
          <w:sz w:val="22"/>
        </w:rPr>
      </w:pPr>
      <w:r>
        <w:rPr>
          <w:rFonts w:hint="eastAsia" w:asciiTheme="minorHAnsi" w:hAnsiTheme="minorHAnsi" w:cstheme="minorHAnsi"/>
          <w:sz w:val="22"/>
        </w:rPr>
        <w:t>生物工程类</w:t>
      </w:r>
    </w:p>
    <w:p>
      <w:pPr>
        <w:pStyle w:val="7"/>
        <w:numPr>
          <w:ilvl w:val="0"/>
          <w:numId w:val="6"/>
        </w:numPr>
        <w:spacing w:line="360" w:lineRule="auto"/>
        <w:ind w:firstLineChars="0"/>
        <w:rPr>
          <w:rFonts w:asciiTheme="minorHAnsi" w:hAnsiTheme="minorHAnsi" w:cstheme="minorHAnsi"/>
          <w:sz w:val="22"/>
        </w:rPr>
      </w:pPr>
      <w:r>
        <w:rPr>
          <w:rFonts w:hint="eastAsia" w:asciiTheme="minorHAnsi" w:hAnsiTheme="minorHAnsi" w:cstheme="minorHAnsi"/>
          <w:sz w:val="22"/>
        </w:rPr>
        <w:t xml:space="preserve">化学与环境工程类 </w:t>
      </w:r>
    </w:p>
    <w:p>
      <w:pPr>
        <w:pStyle w:val="7"/>
        <w:numPr>
          <w:ilvl w:val="0"/>
          <w:numId w:val="6"/>
        </w:numPr>
        <w:spacing w:line="360" w:lineRule="auto"/>
        <w:ind w:firstLineChars="0"/>
        <w:rPr>
          <w:rFonts w:asciiTheme="minorHAnsi" w:hAnsiTheme="minorHAnsi" w:cstheme="minorHAnsi"/>
          <w:sz w:val="22"/>
        </w:rPr>
      </w:pPr>
      <w:r>
        <w:rPr>
          <w:rFonts w:hint="eastAsia" w:asciiTheme="minorHAnsi" w:hAnsiTheme="minorHAnsi" w:cstheme="minorHAnsi"/>
          <w:sz w:val="22"/>
        </w:rPr>
        <w:t xml:space="preserve">计算机科学与工程类 </w:t>
      </w:r>
    </w:p>
    <w:p>
      <w:pPr>
        <w:pStyle w:val="7"/>
        <w:numPr>
          <w:ilvl w:val="0"/>
          <w:numId w:val="6"/>
        </w:numPr>
        <w:spacing w:line="360" w:lineRule="auto"/>
        <w:ind w:firstLineChars="0"/>
        <w:rPr>
          <w:rFonts w:asciiTheme="minorHAnsi" w:hAnsiTheme="minorHAnsi" w:cstheme="minorHAnsi"/>
          <w:sz w:val="22"/>
        </w:rPr>
      </w:pPr>
      <w:r>
        <w:rPr>
          <w:rFonts w:hint="eastAsia" w:asciiTheme="minorHAnsi" w:hAnsiTheme="minorHAnsi" w:cstheme="minorHAnsi"/>
          <w:sz w:val="22"/>
        </w:rPr>
        <w:t xml:space="preserve">电子工程类 </w:t>
      </w:r>
    </w:p>
    <w:p>
      <w:pPr>
        <w:pStyle w:val="7"/>
        <w:numPr>
          <w:ilvl w:val="0"/>
          <w:numId w:val="6"/>
        </w:numPr>
        <w:spacing w:line="360" w:lineRule="auto"/>
        <w:ind w:firstLineChars="0"/>
        <w:rPr>
          <w:rFonts w:asciiTheme="minorHAnsi" w:hAnsiTheme="minorHAnsi" w:cstheme="minorHAnsi"/>
          <w:sz w:val="22"/>
        </w:rPr>
      </w:pPr>
      <w:r>
        <w:rPr>
          <w:rFonts w:hint="eastAsia" w:asciiTheme="minorHAnsi" w:hAnsiTheme="minorHAnsi" w:cstheme="minorHAnsi"/>
          <w:sz w:val="22"/>
        </w:rPr>
        <w:t>材料科学与工程类</w:t>
      </w:r>
      <w:r>
        <w:rPr>
          <w:rFonts w:asciiTheme="minorHAnsi" w:hAnsiTheme="minorHAnsi" w:cstheme="minorHAnsi"/>
          <w:sz w:val="22"/>
        </w:rPr>
        <w:t xml:space="preserve"> </w:t>
      </w:r>
    </w:p>
    <w:p>
      <w:pPr>
        <w:pStyle w:val="7"/>
        <w:spacing w:line="360" w:lineRule="auto"/>
        <w:ind w:left="360" w:firstLine="0" w:firstLineChars="0"/>
        <w:rPr>
          <w:sz w:val="22"/>
        </w:rPr>
      </w:pPr>
      <w:r>
        <w:rPr>
          <w:rFonts w:hint="eastAsia" w:asciiTheme="minorHAnsi" w:hAnsiTheme="minorHAnsi" w:cstheme="minorHAnsi"/>
          <w:sz w:val="22"/>
        </w:rPr>
        <w:t>*</w:t>
      </w:r>
      <w:r>
        <w:rPr>
          <w:rFonts w:asciiTheme="minorHAnsi" w:hAnsiTheme="minorHAnsi" w:cstheme="minorHAnsi"/>
          <w:sz w:val="22"/>
        </w:rPr>
        <w:t>中美专业划分</w:t>
      </w:r>
      <w:r>
        <w:rPr>
          <w:rFonts w:hint="eastAsia" w:asciiTheme="minorHAnsi" w:hAnsiTheme="minorHAnsi" w:cstheme="minorHAnsi"/>
          <w:sz w:val="22"/>
        </w:rPr>
        <w:t>有</w:t>
      </w:r>
      <w:r>
        <w:rPr>
          <w:rFonts w:asciiTheme="minorHAnsi" w:hAnsiTheme="minorHAnsi" w:cstheme="minorHAnsi"/>
          <w:sz w:val="22"/>
        </w:rPr>
        <w:t>一定区别</w:t>
      </w:r>
      <w:r>
        <w:rPr>
          <w:rFonts w:hint="eastAsia" w:asciiTheme="minorHAnsi" w:hAnsiTheme="minorHAnsi" w:cstheme="minorHAnsi"/>
          <w:sz w:val="22"/>
        </w:rPr>
        <w:t>，如</w:t>
      </w:r>
      <w:r>
        <w:rPr>
          <w:rFonts w:asciiTheme="minorHAnsi" w:hAnsiTheme="minorHAnsi" w:cstheme="minorHAnsi"/>
          <w:sz w:val="22"/>
        </w:rPr>
        <w:t>不确定是否符合专业要求请</w:t>
      </w:r>
      <w:r>
        <w:rPr>
          <w:rFonts w:hint="eastAsia" w:asciiTheme="minorHAnsi" w:hAnsiTheme="minorHAnsi" w:cstheme="minorHAnsi"/>
          <w:sz w:val="22"/>
        </w:rPr>
        <w:t>咨询</w:t>
      </w:r>
      <w:r>
        <w:rPr>
          <w:rFonts w:asciiTheme="minorHAnsi" w:hAnsiTheme="minorHAnsi" w:cstheme="minorHAnsi"/>
          <w:sz w:val="22"/>
        </w:rPr>
        <w:t>项目办公室老师</w:t>
      </w:r>
    </w:p>
    <w:p>
      <w:pPr>
        <w:pStyle w:val="7"/>
        <w:numPr>
          <w:numId w:val="0"/>
        </w:numPr>
        <w:spacing w:line="360" w:lineRule="auto"/>
        <w:rPr>
          <w:sz w:val="22"/>
        </w:rPr>
      </w:pPr>
      <w:r>
        <w:rPr>
          <w:rFonts w:hint="eastAsia"/>
          <w:sz w:val="22"/>
          <w:lang w:val="en-US" w:eastAsia="zh-CN"/>
        </w:rPr>
        <w:t>2、</w:t>
      </w:r>
      <w:r>
        <w:rPr>
          <w:rFonts w:hint="eastAsia"/>
          <w:sz w:val="22"/>
        </w:rPr>
        <w:t>成绩优异，在校期间</w:t>
      </w:r>
      <w:r>
        <w:rPr>
          <w:rFonts w:asciiTheme="minorHAnsi" w:hAnsiTheme="minorHAnsi" w:cstheme="minorHAnsi"/>
          <w:sz w:val="22"/>
        </w:rPr>
        <w:t>GPA3.0以上（4分制）</w:t>
      </w:r>
      <w:r>
        <w:rPr>
          <w:rFonts w:hint="eastAsia"/>
          <w:sz w:val="22"/>
        </w:rPr>
        <w:t>；</w:t>
      </w:r>
    </w:p>
    <w:p>
      <w:pPr>
        <w:pStyle w:val="7"/>
        <w:numPr>
          <w:numId w:val="0"/>
        </w:numPr>
        <w:spacing w:line="360" w:lineRule="auto"/>
        <w:rPr>
          <w:rFonts w:hint="eastAsia" w:asciiTheme="minorHAnsi" w:hAnsiTheme="minorHAnsi" w:eastAsiaTheme="majorEastAsia" w:cstheme="minorHAnsi"/>
          <w:szCs w:val="21"/>
          <w:lang w:eastAsia="zh-CN"/>
        </w:rPr>
      </w:pPr>
      <w:r>
        <w:rPr>
          <w:rFonts w:hint="eastAsia" w:asciiTheme="minorHAnsi" w:hAnsiTheme="minorHAnsi" w:eastAsiaTheme="majorEastAsia" w:cstheme="minorHAnsi"/>
          <w:szCs w:val="21"/>
          <w:lang w:val="en-US" w:eastAsia="zh-CN"/>
        </w:rPr>
        <w:t>3、</w:t>
      </w:r>
      <w:r>
        <w:rPr>
          <w:rFonts w:hint="eastAsia" w:asciiTheme="minorHAnsi" w:hAnsiTheme="minorHAnsi" w:eastAsiaTheme="majorEastAsia" w:cstheme="minorHAnsi"/>
          <w:szCs w:val="21"/>
        </w:rPr>
        <w:t>英语要求</w:t>
      </w:r>
      <w:r>
        <w:rPr>
          <w:rFonts w:hint="eastAsia" w:asciiTheme="minorHAnsi" w:hAnsiTheme="minorHAnsi" w:eastAsiaTheme="majorEastAsia" w:cstheme="minorHAnsi"/>
          <w:szCs w:val="21"/>
          <w:lang w:eastAsia="zh-CN"/>
        </w:rPr>
        <w:t>：</w:t>
      </w:r>
      <w:r>
        <w:rPr>
          <w:rFonts w:asciiTheme="minorHAnsi" w:hAnsiTheme="minorHAnsi" w:eastAsiaTheme="majorEastAsia" w:cstheme="minorHAnsi"/>
          <w:szCs w:val="21"/>
        </w:rPr>
        <w:t>大学</w:t>
      </w:r>
      <w:r>
        <w:rPr>
          <w:rFonts w:hint="eastAsia" w:asciiTheme="minorHAnsi" w:hAnsiTheme="minorHAnsi" w:eastAsiaTheme="majorEastAsia" w:cstheme="minorHAnsi"/>
          <w:szCs w:val="21"/>
        </w:rPr>
        <w:t>专业</w:t>
      </w:r>
      <w:r>
        <w:rPr>
          <w:rFonts w:asciiTheme="minorHAnsi" w:hAnsiTheme="minorHAnsi" w:eastAsiaTheme="majorEastAsia" w:cstheme="minorHAnsi"/>
          <w:szCs w:val="21"/>
        </w:rPr>
        <w:t>学分课程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托福80，</w:t>
      </w:r>
      <w:r>
        <w:rPr>
          <w:rFonts w:hint="eastAsia" w:asciiTheme="minorHAnsi" w:hAnsiTheme="minorHAnsi" w:eastAsiaTheme="majorEastAsia" w:cstheme="minorHAnsi"/>
          <w:szCs w:val="21"/>
        </w:rPr>
        <w:t>或</w:t>
      </w:r>
      <w:r>
        <w:rPr>
          <w:rFonts w:asciiTheme="minorHAnsi" w:hAnsiTheme="minorHAnsi" w:eastAsiaTheme="majorEastAsia" w:cstheme="minorHAnsi"/>
          <w:szCs w:val="21"/>
        </w:rPr>
        <w:t>雅思6.5</w:t>
      </w:r>
      <w:r>
        <w:rPr>
          <w:rFonts w:hint="eastAsia" w:asciiTheme="minorHAnsi" w:hAnsiTheme="minorHAnsi" w:eastAsiaTheme="majorEastAsia" w:cstheme="minorHAnsi"/>
          <w:szCs w:val="21"/>
        </w:rPr>
        <w:t>，或通过加州大学河滨分校语言内测</w:t>
      </w:r>
      <w:r>
        <w:rPr>
          <w:rFonts w:hint="eastAsia" w:asciiTheme="minorHAnsi" w:hAnsiTheme="minorHAnsi" w:eastAsiaTheme="majorEastAsia" w:cstheme="minorHAnsi"/>
          <w:szCs w:val="21"/>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A0777"/>
    <w:multiLevelType w:val="multilevel"/>
    <w:tmpl w:val="220A077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530B0E80"/>
    <w:multiLevelType w:val="multilevel"/>
    <w:tmpl w:val="530B0E8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542377BC"/>
    <w:multiLevelType w:val="multilevel"/>
    <w:tmpl w:val="542377B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CEF6509"/>
    <w:multiLevelType w:val="multilevel"/>
    <w:tmpl w:val="6CEF650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785C30E8"/>
    <w:multiLevelType w:val="multilevel"/>
    <w:tmpl w:val="785C30E8"/>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5">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43DC8"/>
    <w:rsid w:val="53A3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
    <w:name w:val="Hyperlink"/>
    <w:uiPriority w:val="0"/>
    <w:rPr>
      <w:color w:val="0068B7"/>
      <w:u w:val="none"/>
    </w:rPr>
  </w:style>
  <w:style w:type="paragraph" w:customStyle="1" w:styleId="6">
    <w:name w:val="列表段落1"/>
    <w:basedOn w:val="1"/>
    <w:qFormat/>
    <w:uiPriority w:val="34"/>
    <w:pPr>
      <w:ind w:firstLine="420" w:firstLineChars="200"/>
    </w:p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USIEA--Xi'an</dc:creator>
  <cp:lastModifiedBy>╰ MAY Flower</cp:lastModifiedBy>
  <dcterms:modified xsi:type="dcterms:W3CDTF">2019-03-12T11:07:16Z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